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The Seventh Thousand Years</w:t>
      </w:r>
      <w:r w:rsidDel="00000000" w:rsidR="00000000" w:rsidRPr="00000000">
        <w:rPr>
          <w:rtl w:val="0"/>
        </w:rPr>
      </w:r>
    </w:p>
    <w:p w:rsidR="00000000" w:rsidDel="00000000" w:rsidP="00000000" w:rsidRDefault="00000000" w:rsidRPr="00000000">
      <w:pPr>
        <w:pStyle w:val="Heading1"/>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vertAlign w:val="baseline"/>
          <w:rtl w:val="0"/>
        </w:rPr>
        <w:t xml:space="preserve">JESUS NOW REIGNING AS KING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study prepared by a few brethren in Chicago who prefer to remain anonymous.  This study originally was comprised of 14 pages, as all the references were typed out in full.  In order to conserve space and thus to cut down on printing costs the references will not be typed out in full, but only indicated by the first few words and the last few words of each quote.  It will require careful and patient study to find the references, but the effort made will yield a rich reward to the sincere student.)    Theodore A. Smith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u w:val="single"/>
          <w:vertAlign w:val="baseline"/>
        </w:rPr>
      </w:pPr>
      <w:r w:rsidDel="00000000" w:rsidR="00000000" w:rsidRPr="00000000">
        <w:rPr>
          <w:strike w:val="0"/>
          <w:sz w:val="28"/>
          <w:szCs w:val="28"/>
          <w:u w:val="single"/>
          <w:vertAlign w:val="baseline"/>
          <w:rtl w:val="0"/>
        </w:rPr>
        <w:t xml:space="preserve">VOLUME ONE: (1916 Edition)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called</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King of kings.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307, par. 2.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Referring to</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are thus described.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324, par. 1.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this trouble</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Psa. 46:8-10.</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333, par. 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u w:val="single"/>
          <w:vertAlign w:val="baseline"/>
        </w:rPr>
      </w:pPr>
      <w:r w:rsidDel="00000000" w:rsidR="00000000" w:rsidRPr="00000000">
        <w:rPr>
          <w:strike w:val="0"/>
          <w:sz w:val="28"/>
          <w:szCs w:val="28"/>
          <w:u w:val="single"/>
          <w:vertAlign w:val="baseline"/>
          <w:rtl w:val="0"/>
        </w:rPr>
        <w:t xml:space="preserve">VOLUME TWO: (1955 Edition)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wrath will come.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Author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Foreword </w:t>
      </w:r>
      <w:r w:rsidDel="00000000" w:rsidR="00000000" w:rsidRPr="00000000">
        <w:rPr>
          <w:sz w:val="28"/>
          <w:szCs w:val="28"/>
          <w:rtl w:val="0"/>
        </w:rPr>
        <w:t xml:space="preserve">x</w:t>
      </w:r>
      <w:r w:rsidDel="00000000" w:rsidR="00000000" w:rsidRPr="00000000">
        <w:rPr>
          <w:strike w:val="0"/>
          <w:sz w:val="28"/>
          <w:szCs w:val="28"/>
          <w:vertAlign w:val="baseline"/>
          <w:rtl w:val="0"/>
        </w:rPr>
        <w:t xml:space="preserve"> top.  (1916 edition iii, par. 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Bible chronology</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began in 1873.</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Author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Foreword viii, par. 2, 1916 Edition ii, par. 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then, the</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already in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40, par. 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Danie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statement</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special consideration.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P</w:t>
      </w:r>
      <w:r w:rsidDel="00000000" w:rsidR="00000000" w:rsidRPr="00000000">
        <w:rPr>
          <w:strike w:val="0"/>
          <w:sz w:val="28"/>
          <w:szCs w:val="28"/>
          <w:vertAlign w:val="baseline"/>
          <w:rtl w:val="0"/>
        </w:rPr>
        <w:t xml:space="preserve">age 99, par. 2.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in this</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recognize it for some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100, par. 1.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methods of</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(Eph. 6:17</w:t>
      </w:r>
      <w:r w:rsidDel="00000000" w:rsidR="00000000" w:rsidRPr="00000000">
        <w:rPr>
          <w:sz w:val="28"/>
          <w:szCs w:val="28"/>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100, par. 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not surprised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already commenced.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101, par. 1.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Scriptures teach</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advent for redemption.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105, par. 2.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in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change of rulers.</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137, bottom line.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the great</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which control in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139, top.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will be</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that the Lord reigneth.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140, par. 1.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they will</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new Ruler of earth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Page 141, top.</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to this</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that Isa. 52:7 refers.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142, top.</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Rev. 11:15-19</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there was a nation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Page 145, par. 1.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symbol</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the laws of his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147, par. 1.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Suffice it here</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 Rev. 10:7; 11:15, 18.</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148, par. 1.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as these</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revealed to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151, par. 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Already the world</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recognize the King himself.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152, par. 3.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Apostle then</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Millennium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reign.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168, par. 1.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Spring of A.D. 1878</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office of King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Page 235, par. 1.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Since that time</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(Rev. 11:17, 18.)</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239, middle.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special work</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my people!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Page 240, par. 1.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Note chart on pages 246 and 247.</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0"/>
          <w:strike w:val="0"/>
          <w:color w:val="000000"/>
          <w:sz w:val="28"/>
          <w:szCs w:val="28"/>
          <w:u w:val="single"/>
          <w:vertAlign w:val="baseline"/>
        </w:rPr>
      </w:pPr>
      <w:r w:rsidDel="00000000" w:rsidR="00000000" w:rsidRPr="00000000">
        <w:rPr>
          <w:strike w:val="0"/>
          <w:vertAlign w:val="baseline"/>
          <w:rtl w:val="0"/>
        </w:rPr>
        <w:t xml:space="preserve">VOLUME THREE: 1916 Edition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kingdom</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has not yet expired.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22, par. 1.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Succeeding chapters</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and in progress.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22, par. 2.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Nor does this</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it will be inaugurated</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 .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page 62, par. 1.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order that</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dawning Millennium 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124, par. 3.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kingdoms of</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glorious and righteous reign.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129</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top.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Note chart on page 132.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parallel to this</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invisible to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150, par. 1.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learn the date</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are to take precedence.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233, par. 3.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belief that</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at that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235, par. 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These with their</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creation, is begun.)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236, par. 1.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let it not</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Christ is begun!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237, par. 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thank God!</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members need to sleep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240, par. top.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THY GOD REIGNETH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view</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our Lord is begun!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301.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their mission</w:t>
      </w:r>
      <w:r w:rsidDel="00000000" w:rsidR="00000000" w:rsidRPr="00000000">
        <w:rPr>
          <w:sz w:val="28"/>
          <w:szCs w:val="28"/>
          <w:rtl w:val="0"/>
        </w:rPr>
        <w:t xml:space="preserve"> …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Thy God reigneth!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303, par. 1.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what blessing</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and wrath for glory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Page 306., par. 1.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u w:val="single"/>
          <w:vertAlign w:val="baseline"/>
        </w:rPr>
      </w:pPr>
      <w:r w:rsidDel="00000000" w:rsidR="00000000" w:rsidRPr="00000000">
        <w:rPr>
          <w:strike w:val="0"/>
          <w:sz w:val="28"/>
          <w:szCs w:val="28"/>
          <w:u w:val="single"/>
          <w:vertAlign w:val="baseline"/>
          <w:rtl w:val="0"/>
        </w:rPr>
        <w:t xml:space="preserve">VOLUME FOUR:  (1949 Edition)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question now</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reign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Foreword xvii, par. 1.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At that time</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there was a nation.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579, par. 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now in the</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presence of the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Page 599, par. 1.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work will be</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separating work.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600, par. 2.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harvest</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began in Oct., 1874</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Page 604, par. 2.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now we are</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is not yet complete.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621, par. 2.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However, instead of</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works will continue.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Rev. 14:13. P. 622, par. 1.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describing the</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thy wrath to come, </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622, par. 3 &amp; 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read similarly</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result of Kingdom judgments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Page 623, par. 1.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may not be</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Vengeance of our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624, par. 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0"/>
          <w:strike w:val="0"/>
          <w:color w:val="000000"/>
          <w:sz w:val="28"/>
          <w:szCs w:val="28"/>
          <w:u w:val="single"/>
          <w:vertAlign w:val="baseline"/>
        </w:rPr>
      </w:pPr>
      <w:r w:rsidDel="00000000" w:rsidR="00000000" w:rsidRPr="00000000">
        <w:rPr>
          <w:strike w:val="0"/>
          <w:vertAlign w:val="baseline"/>
          <w:rtl w:val="0"/>
        </w:rPr>
        <w:t xml:space="preserve">OUR MOST HOLY FAITH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note also</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in the spring of 1878.</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127, bottom.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At the sounding of</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is now sounding.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P</w:t>
      </w:r>
      <w:r w:rsidDel="00000000" w:rsidR="00000000" w:rsidRPr="00000000">
        <w:rPr>
          <w:strike w:val="0"/>
          <w:sz w:val="28"/>
          <w:szCs w:val="28"/>
          <w:vertAlign w:val="baseline"/>
          <w:rtl w:val="0"/>
        </w:rPr>
        <w:t xml:space="preserve">age 259, par. 3.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Realizing that we</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who is now present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Page 572, top.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0"/>
          <w:strike w:val="0"/>
          <w:color w:val="000000"/>
          <w:sz w:val="28"/>
          <w:szCs w:val="28"/>
          <w:u w:val="single"/>
          <w:vertAlign w:val="baseline"/>
        </w:rPr>
      </w:pPr>
      <w:r w:rsidDel="00000000" w:rsidR="00000000" w:rsidRPr="00000000">
        <w:rPr>
          <w:strike w:val="0"/>
          <w:vertAlign w:val="baseline"/>
          <w:rtl w:val="0"/>
        </w:rPr>
        <w:t xml:space="preserve">REPRINTS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is a natural</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wrath to come. Page 26, col. 1 top (1879).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parallels point</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Spring of 1878 </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88:2-5. (1880).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will not</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righteous judgment.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110-1; Q &amp; A. par. 2 (1880).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Such has been</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He is present </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125:2:8 (1880).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will be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enlighten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247:2-9 (1881).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one part</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proclamation; </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287-6,7; 2:4, 5 (1881).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feet</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Thy God reigneth.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288:2-2 (1881).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believe that</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is already commenced.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331, par. 4 (1882).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change of</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we believe they are.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332, par. 9 (1882).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trouble of</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wrath to come.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Page 409, par. 7 (1882).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At that time</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Rev. 11:17, 18.)</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490:2-4 (1883).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trouble</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(Rev. 11:18.)</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592, par. 2 (1884).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Or take another</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feet of the image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Page 668:2-2 (1884).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Page 757, repeat of 287 (1885).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judgment against</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judgment reign.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893, par. 3 (1886).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it must</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it fills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968:2-3, 4 (1887).</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Days</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apostles and prophets.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1156, par. 3 (1889).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PLOWMAN </w:t>
      </w:r>
      <w:r w:rsidDel="00000000" w:rsidR="00000000" w:rsidRPr="00000000">
        <w:rPr>
          <w:sz w:val="28"/>
          <w:szCs w:val="28"/>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his own glorious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1161, par. 2 (1889)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According to</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since that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1233, par. 4 (1890).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though the</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changed or glorified</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1290:2-4 (1891)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(Thus the message</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beyond the vail.)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1379:2-5 (1892)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see that</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come. Ezek. 21:27.</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1619, par. 7 (1894).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Having been</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reign of glory and power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1854:2-4 (1895)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now (since 1878)</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hill of Zion.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 2:6)</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1914, par. 2 (1896)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Even though the</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or glorified.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2272:2-1 (1898)</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the King</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of his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2297, par. 3 (1898).</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Thus it is</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great time of trouble.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2375, col. 1 top. (1898).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so recognize</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in the pilgrim 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2827, par. 1 (1901).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note the</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at once establishes.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2975, par. 2 (1902).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noticed that</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their destruction;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Page 2979:2-7 (1902).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looking for</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Spring of 1878.</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2375, col. 1 top (1898).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While we point</w:t>
      </w:r>
      <w:r w:rsidDel="00000000" w:rsidR="00000000" w:rsidRPr="00000000">
        <w:rPr>
          <w:sz w:val="28"/>
          <w:szCs w:val="28"/>
          <w:rtl w:val="0"/>
        </w:rPr>
        <w:t xml:space="preserve"> …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present evil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2992:2-3, 4 (1902)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is here</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judge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2993, par. 3 (1902).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are to</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great time of trouble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Page 2993:2-3 (1902).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preceding context</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of his reign.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3589, par. 5 (1905).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entrance into</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King of the world</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3683:2-5 (1905).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continued</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sleep or unconsciousness.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3823, par. 5, 6 (1906)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Prince of</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is in operation.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4610, col. 1, top &amp; 2:1.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Babylon the Great</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to the new King</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4997, par. 5 (1912).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Even though the</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changed or glorified.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5193, par. 1 (1913).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instance</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years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reign.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5563, col. 1 bottom (1914).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Evidently the Lord</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We so believe.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5567, top line par. 4 &amp; 5.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these things</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his great power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Page 5569, par. 6 (1914).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KINGDOM</w:t>
      </w:r>
      <w:r w:rsidDel="00000000" w:rsidR="00000000" w:rsidRPr="00000000">
        <w:rPr>
          <w:sz w:val="27"/>
          <w:szCs w:val="27"/>
          <w:rtl w:val="0"/>
        </w:rPr>
        <w:t xml:space="preserve">—</w:t>
      </w:r>
      <w:r w:rsidDel="00000000" w:rsidR="00000000" w:rsidRPr="00000000">
        <w:rPr>
          <w:sz w:val="28"/>
          <w:szCs w:val="28"/>
          <w:rtl w:val="0"/>
        </w:rPr>
        <w:t xml:space="preserv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our thought is</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society at large.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5632, par. 2, 4 (1915)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are ready</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etc.  Rev. 11:18.</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5715, par. 1 (1915).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ELIJAH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Mount Horeb</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still in the flesh.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5752:2</w:t>
      </w:r>
      <w:r w:rsidDel="00000000" w:rsidR="00000000" w:rsidRPr="00000000">
        <w:rPr>
          <w:sz w:val="27"/>
          <w:szCs w:val="27"/>
          <w:rtl w:val="0"/>
        </w:rPr>
        <w:t xml:space="preserve">—</w:t>
      </w:r>
      <w:r w:rsidDel="00000000" w:rsidR="00000000" w:rsidRPr="00000000">
        <w:rPr>
          <w:strike w:val="0"/>
          <w:sz w:val="28"/>
          <w:szCs w:val="28"/>
          <w:vertAlign w:val="baseline"/>
          <w:rtl w:val="0"/>
        </w:rPr>
        <w:t xml:space="preserve">bottom par.; Page 5753, par. 1 (1915)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have learned</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2 Pet. 3:10-13.</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5753, par. 2 (1915).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Many Bible Students</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began in 1878.</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5762, par. 1 (1915)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Spring of</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(Luke 13:34, 35)</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5772:2-3. (1915).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SIGNIFICANCE OF </w:t>
      </w:r>
      <w:r w:rsidDel="00000000" w:rsidR="00000000" w:rsidRPr="00000000">
        <w:rPr>
          <w:sz w:val="28"/>
          <w:szCs w:val="28"/>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from that King and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5916:2 (1916). INTERESTING </w:t>
      </w:r>
      <w:r w:rsidDel="00000000" w:rsidR="00000000" w:rsidRPr="00000000">
        <w:rPr>
          <w:sz w:val="28"/>
          <w:szCs w:val="28"/>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gradually passing over.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5922:2-4 (1916).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holy prophets</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be clearly recognized.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5989, par. 1 (1916).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true it </w:t>
      </w:r>
      <w:hyperlink r:id="rId5">
        <w:r w:rsidDel="00000000" w:rsidR="00000000" w:rsidRPr="00000000">
          <w:rPr>
            <w:strike w:val="0"/>
            <w:sz w:val="28"/>
            <w:szCs w:val="28"/>
            <w:u w:val="single"/>
            <w:vertAlign w:val="baseline"/>
            <w:rtl w:val="0"/>
          </w:rPr>
          <w:t xml:space="preserve">is</w:t>
        </w:r>
      </w:hyperlink>
      <w:r w:rsidDel="00000000" w:rsidR="00000000" w:rsidRPr="00000000">
        <w:rPr>
          <w:sz w:val="28"/>
          <w:szCs w:val="28"/>
          <w:rtl w:val="0"/>
        </w:rPr>
        <w:t xml:space="preserve"> … </w:t>
      </w:r>
      <w:r w:rsidDel="00000000" w:rsidR="00000000" w:rsidRPr="00000000">
        <w:rPr>
          <w:strike w:val="0"/>
          <w:sz w:val="28"/>
          <w:szCs w:val="28"/>
          <w:vertAlign w:val="baseline"/>
          <w:rtl w:val="0"/>
        </w:rPr>
        <w:t xml:space="preserve">his great purposes.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5989, par. 2 (1916).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mountain</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Zion! (Psalm 2:6)</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5990, par. 2 (1916).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His presence</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controlling in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5992, par. 1, 2 (1916).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Page vii, Vol. 2 Author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Foreword, par. 2 (Oct. 1, 1916).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Bible chronology herein presented shows that the six great thousand year Days beginning with Adam are ended, and that the great Seventh Day, the thousand years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Reign, began in 1873.</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Volume II, 1916 foreword, page viii, par. 2.</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left"/>
    </w:pPr>
    <w:rPr>
      <w:rFonts w:ascii="Times New Roman" w:cs="Times New Roman" w:eastAsia="Times New Roman" w:hAnsi="Times New Roman"/>
      <w:b w:val="0"/>
      <w:strike w:val="0"/>
      <w:color w:val="000000"/>
      <w:sz w:val="28"/>
      <w:szCs w:val="28"/>
      <w:vertAlign w:val="baseline"/>
    </w:rPr>
  </w:style>
  <w:style w:type="paragraph" w:styleId="Heading2">
    <w:name w:val="heading 2"/>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is" TargetMode="External"/></Relationships>
</file>